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504EE" w14:textId="77777777" w:rsidR="0074231C" w:rsidRDefault="00216C62">
      <w:pPr>
        <w:spacing w:after="208"/>
        <w:ind w:left="4238"/>
      </w:pPr>
      <w:bookmarkStart w:id="0" w:name="_GoBack"/>
      <w:bookmarkEnd w:id="0"/>
      <w:r>
        <w:rPr>
          <w:noProof/>
        </w:rPr>
        <w:drawing>
          <wp:inline distT="0" distB="0" distL="0" distR="0" wp14:anchorId="468882B4" wp14:editId="7E0B17DE">
            <wp:extent cx="786384" cy="1064055"/>
            <wp:effectExtent l="0" t="0" r="0" b="0"/>
            <wp:docPr id="1733" name="Picture 1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" name="Picture 17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106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B021D" w14:textId="77777777" w:rsidR="0074231C" w:rsidRDefault="00216C62">
      <w:pPr>
        <w:spacing w:after="0"/>
        <w:ind w:left="572" w:hanging="10"/>
        <w:jc w:val="center"/>
      </w:pPr>
      <w:r>
        <w:rPr>
          <w:rFonts w:ascii="Times New Roman" w:eastAsia="Times New Roman" w:hAnsi="Times New Roman" w:cs="Times New Roman"/>
          <w:sz w:val="32"/>
        </w:rPr>
        <w:t>HIIUMAA VALD</w:t>
      </w:r>
    </w:p>
    <w:p w14:paraId="287D02B4" w14:textId="77777777" w:rsidR="0074231C" w:rsidRDefault="00216C62">
      <w:pPr>
        <w:spacing w:after="0"/>
        <w:ind w:left="572" w:right="10" w:hanging="10"/>
        <w:jc w:val="center"/>
      </w:pPr>
      <w:r>
        <w:rPr>
          <w:rFonts w:ascii="Times New Roman" w:eastAsia="Times New Roman" w:hAnsi="Times New Roman" w:cs="Times New Roman"/>
          <w:sz w:val="32"/>
        </w:rPr>
        <w:t>HIIUMAA VALLAVALITSUS</w:t>
      </w:r>
    </w:p>
    <w:p w14:paraId="5EDD8A02" w14:textId="77777777" w:rsidR="0074231C" w:rsidRDefault="00216C62">
      <w:pPr>
        <w:pStyle w:val="Pealkiri1"/>
      </w:pPr>
      <w:r>
        <w:t>KORR ALDUS</w:t>
      </w:r>
    </w:p>
    <w:p w14:paraId="740447AA" w14:textId="77777777" w:rsidR="0074231C" w:rsidRDefault="00216C62">
      <w:pPr>
        <w:tabs>
          <w:tab w:val="right" w:pos="9149"/>
        </w:tabs>
        <w:spacing w:after="571" w:line="225" w:lineRule="auto"/>
      </w:pPr>
      <w:r>
        <w:rPr>
          <w:noProof/>
        </w:rPr>
        <w:drawing>
          <wp:inline distT="0" distB="0" distL="0" distR="0" wp14:anchorId="0A9F8FBF" wp14:editId="265A3BAD">
            <wp:extent cx="3048" cy="6098"/>
            <wp:effectExtent l="0" t="0" r="0" b="0"/>
            <wp:docPr id="1673" name="Picture 1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" name="Picture 16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>Kärdla</w:t>
      </w:r>
      <w:r>
        <w:rPr>
          <w:rFonts w:ascii="Times New Roman" w:eastAsia="Times New Roman" w:hAnsi="Times New Roman" w:cs="Times New Roman"/>
          <w:sz w:val="26"/>
        </w:rPr>
        <w:tab/>
        <w:t>31.01.2018 nr 70</w:t>
      </w:r>
    </w:p>
    <w:p w14:paraId="633E35E6" w14:textId="77777777" w:rsidR="0074231C" w:rsidRDefault="00216C62">
      <w:pPr>
        <w:spacing w:after="284" w:line="225" w:lineRule="auto"/>
        <w:ind w:left="81" w:right="3845" w:hanging="10"/>
      </w:pPr>
      <w:r>
        <w:rPr>
          <w:rFonts w:ascii="Times New Roman" w:eastAsia="Times New Roman" w:hAnsi="Times New Roman" w:cs="Times New Roman"/>
          <w:sz w:val="26"/>
        </w:rPr>
        <w:t>Hiiu Valla Sotsiaalkeskuse hinnakirja kehtestamine</w:t>
      </w:r>
    </w:p>
    <w:p w14:paraId="64A69D2E" w14:textId="77777777" w:rsidR="0074231C" w:rsidRDefault="00216C62">
      <w:pPr>
        <w:spacing w:after="279" w:line="253" w:lineRule="auto"/>
        <w:ind w:left="9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Kohaliku omavalitsuse korralduse seaduse 30 </w:t>
      </w:r>
      <w:proofErr w:type="spellStart"/>
      <w:r>
        <w:rPr>
          <w:rFonts w:ascii="Times New Roman" w:eastAsia="Times New Roman" w:hAnsi="Times New Roman" w:cs="Times New Roman"/>
          <w:sz w:val="24"/>
        </w:rPr>
        <w:t>löike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3, haldusmenetluse seaduse 68 </w:t>
      </w:r>
      <w:proofErr w:type="spellStart"/>
      <w:r>
        <w:rPr>
          <w:rFonts w:ascii="Times New Roman" w:eastAsia="Times New Roman" w:hAnsi="Times New Roman" w:cs="Times New Roman"/>
          <w:sz w:val="24"/>
        </w:rPr>
        <w:t>löike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 ning Hiiu Valla Sotsiaalkeskuse juhataja ülesannete täitja Madis Roosimaa 24.01.2018 taotluse nr 1-6/64 alusel, annab Hiiumaa Vallavalitsus</w:t>
      </w:r>
    </w:p>
    <w:p w14:paraId="66E8EBBD" w14:textId="77777777" w:rsidR="0074231C" w:rsidRDefault="00216C62">
      <w:pPr>
        <w:spacing w:after="97"/>
        <w:ind w:left="82"/>
      </w:pPr>
      <w:r>
        <w:rPr>
          <w:rFonts w:ascii="Times New Roman" w:eastAsia="Times New Roman" w:hAnsi="Times New Roman" w:cs="Times New Roman"/>
          <w:sz w:val="38"/>
        </w:rPr>
        <w:t>korraldus e :</w:t>
      </w:r>
    </w:p>
    <w:p w14:paraId="10A89F6F" w14:textId="77777777" w:rsidR="0074231C" w:rsidRDefault="00216C62">
      <w:pPr>
        <w:spacing w:after="7" w:line="253" w:lineRule="auto"/>
        <w:ind w:left="91"/>
        <w:jc w:val="both"/>
      </w:pPr>
      <w:r>
        <w:rPr>
          <w:rFonts w:ascii="Times New Roman" w:eastAsia="Times New Roman" w:hAnsi="Times New Roman" w:cs="Times New Roman"/>
          <w:sz w:val="24"/>
        </w:rPr>
        <w:t>1. Kehtestada Hiiu Valla Sotsiaalkeskuse toiduraha piirmäär, majutuse, ruumi üüri ja teenuste hinnad alljärgnevalt:</w:t>
      </w:r>
    </w:p>
    <w:p w14:paraId="2FF91CC6" w14:textId="77777777" w:rsidR="0074231C" w:rsidRDefault="00216C62">
      <w:pPr>
        <w:numPr>
          <w:ilvl w:val="0"/>
          <w:numId w:val="1"/>
        </w:numPr>
        <w:spacing w:after="272" w:line="253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1.Toiduraha piirmäär </w:t>
      </w:r>
      <w:proofErr w:type="spellStart"/>
      <w:r>
        <w:rPr>
          <w:rFonts w:ascii="Times New Roman" w:eastAsia="Times New Roman" w:hAnsi="Times New Roman" w:cs="Times New Roman"/>
          <w:sz w:val="24"/>
        </w:rPr>
        <w:t>öpilastele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ja koolieelikutele kuni 1,60 eurot päevas, millest moodustab: hommikusöök 30%, </w:t>
      </w:r>
      <w:proofErr w:type="spellStart"/>
      <w:r>
        <w:rPr>
          <w:rFonts w:ascii="Times New Roman" w:eastAsia="Times New Roman" w:hAnsi="Times New Roman" w:cs="Times New Roman"/>
          <w:sz w:val="24"/>
        </w:rPr>
        <w:t>löunasöök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50</w:t>
      </w:r>
      <w:r>
        <w:rPr>
          <w:rFonts w:ascii="Times New Roman" w:eastAsia="Times New Roman" w:hAnsi="Times New Roman" w:cs="Times New Roman"/>
          <w:sz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</w:rPr>
        <w:t>/0 ja oode 20%;</w:t>
      </w:r>
    </w:p>
    <w:p w14:paraId="02D19B4B" w14:textId="77777777" w:rsidR="0074231C" w:rsidRDefault="00216C62">
      <w:pPr>
        <w:spacing w:after="43" w:line="253" w:lineRule="auto"/>
        <w:ind w:left="9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sz w:val="24"/>
        </w:rPr>
        <w:t>Löunasöök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täiskasvanutele ja töötajatele 1 euro;</w:t>
      </w:r>
    </w:p>
    <w:tbl>
      <w:tblPr>
        <w:tblStyle w:val="TableGrid"/>
        <w:tblW w:w="9053" w:type="dxa"/>
        <w:tblInd w:w="72" w:type="dxa"/>
        <w:tblLook w:val="04A0" w:firstRow="1" w:lastRow="0" w:firstColumn="1" w:lastColumn="0" w:noHBand="0" w:noVBand="1"/>
      </w:tblPr>
      <w:tblGrid>
        <w:gridCol w:w="7205"/>
        <w:gridCol w:w="1848"/>
      </w:tblGrid>
      <w:tr w:rsidR="0074231C" w14:paraId="1E22C921" w14:textId="77777777">
        <w:trPr>
          <w:trHeight w:val="823"/>
        </w:trPr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14:paraId="3E3F4B09" w14:textId="77777777" w:rsidR="0074231C" w:rsidRDefault="00216C62">
            <w:pPr>
              <w:spacing w:after="272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1.3. Majutus, v.a pansionaadi hoones, koos köögi kasutamisega isikule</w:t>
            </w:r>
          </w:p>
          <w:p w14:paraId="1D2E7A5B" w14:textId="77777777" w:rsidR="0074231C" w:rsidRDefault="00216C62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1.4. Ruumide üür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B18B6A0" w14:textId="77777777" w:rsidR="0074231C" w:rsidRDefault="00216C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6 eurot/ööpäev</w:t>
            </w:r>
          </w:p>
        </w:tc>
      </w:tr>
      <w:tr w:rsidR="0074231C" w14:paraId="37032EEB" w14:textId="77777777">
        <w:trPr>
          <w:trHeight w:val="283"/>
        </w:trPr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14:paraId="378AC8E3" w14:textId="77777777" w:rsidR="0074231C" w:rsidRDefault="00216C62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1.4.1. Ruumi üür (v.a pansionaadi hoones)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62497465" w14:textId="77777777" w:rsidR="0074231C" w:rsidRDefault="00216C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7 eurot/tund.</w:t>
            </w:r>
          </w:p>
        </w:tc>
      </w:tr>
      <w:tr w:rsidR="0074231C" w14:paraId="03FB4531" w14:textId="77777777">
        <w:trPr>
          <w:trHeight w:val="283"/>
        </w:trPr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14:paraId="102BBA40" w14:textId="77777777" w:rsidR="0074231C" w:rsidRDefault="00216C62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1.4.2. Ruumi üür (v.a pansionaadi hoones) koos köögi kasutamisega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894EAA9" w14:textId="77777777" w:rsidR="0074231C" w:rsidRDefault="00216C6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15 eurot/tund.</w:t>
            </w:r>
          </w:p>
        </w:tc>
      </w:tr>
      <w:tr w:rsidR="0074231C" w14:paraId="2BC7D32F" w14:textId="77777777">
        <w:trPr>
          <w:trHeight w:val="283"/>
        </w:trPr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14:paraId="599A1C93" w14:textId="77777777" w:rsidR="0074231C" w:rsidRDefault="00216C62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1.4.3. Sotsiaaleluruumi üür pansionaadis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84720F4" w14:textId="77777777" w:rsidR="0074231C" w:rsidRDefault="00216C6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140 eurot/kuu.</w:t>
            </w:r>
          </w:p>
        </w:tc>
      </w:tr>
      <w:tr w:rsidR="0074231C" w14:paraId="5EA7525C" w14:textId="77777777">
        <w:trPr>
          <w:trHeight w:val="285"/>
        </w:trPr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14:paraId="2BFD81CD" w14:textId="77777777" w:rsidR="0074231C" w:rsidRDefault="00216C62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>1.4.4. Sotsiaaleluruumi üür pansionaadis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37695324" w14:textId="77777777" w:rsidR="0074231C" w:rsidRDefault="00216C62">
            <w:r>
              <w:rPr>
                <w:rFonts w:ascii="Times New Roman" w:eastAsia="Times New Roman" w:hAnsi="Times New Roman" w:cs="Times New Roman"/>
                <w:sz w:val="24"/>
              </w:rPr>
              <w:t>34 eurot/nädal</w:t>
            </w:r>
          </w:p>
        </w:tc>
      </w:tr>
      <w:tr w:rsidR="0074231C" w14:paraId="0DA88CDB" w14:textId="77777777">
        <w:trPr>
          <w:trHeight w:val="1138"/>
        </w:trPr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14:paraId="540F7BCC" w14:textId="77777777" w:rsidR="0074231C" w:rsidRDefault="00216C62">
            <w:pPr>
              <w:spacing w:after="268"/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>1.4.5. Sotsiaaleluruumi üür pansionaadis</w:t>
            </w:r>
          </w:p>
          <w:p w14:paraId="710D1BEB" w14:textId="77777777" w:rsidR="0074231C" w:rsidRDefault="00216C62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>1.5. Teenused</w:t>
            </w:r>
          </w:p>
          <w:p w14:paraId="1EF50C45" w14:textId="77777777" w:rsidR="0074231C" w:rsidRDefault="00216C62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1.5.1. Päevahoiuteenus psüühikahäire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vöi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vaimupuudega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39E47D52" w14:textId="77777777" w:rsidR="0074231C" w:rsidRDefault="00216C6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5 eurot/ööpäev</w:t>
            </w:r>
          </w:p>
        </w:tc>
      </w:tr>
      <w:tr w:rsidR="0074231C" w14:paraId="46EDB35A" w14:textId="77777777">
        <w:trPr>
          <w:trHeight w:val="284"/>
        </w:trPr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14:paraId="16306DC6" w14:textId="77777777" w:rsidR="0074231C" w:rsidRDefault="00216C62">
            <w:r>
              <w:rPr>
                <w:rFonts w:ascii="Times New Roman" w:eastAsia="Times New Roman" w:hAnsi="Times New Roman" w:cs="Times New Roman"/>
                <w:sz w:val="24"/>
              </w:rPr>
              <w:t>tööealisele isikule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5AF011F4" w14:textId="77777777" w:rsidR="0074231C" w:rsidRDefault="00216C62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4,40 eurot/päev.</w:t>
            </w:r>
          </w:p>
        </w:tc>
      </w:tr>
      <w:tr w:rsidR="0074231C" w14:paraId="406ED46F" w14:textId="77777777">
        <w:trPr>
          <w:trHeight w:val="283"/>
        </w:trPr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14:paraId="28066B3F" w14:textId="7E52BD3B" w:rsidR="0074231C" w:rsidRDefault="00216C62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1.5.2.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</w:t>
            </w:r>
            <w:r w:rsidR="00C9742D">
              <w:rPr>
                <w:rFonts w:ascii="Times New Roman" w:eastAsia="Times New Roman" w:hAnsi="Times New Roman" w:cs="Times New Roman"/>
                <w:sz w:val="24"/>
              </w:rPr>
              <w:t>šš</w:t>
            </w:r>
            <w:r>
              <w:rPr>
                <w:rFonts w:ascii="Times New Roman" w:eastAsia="Times New Roman" w:hAnsi="Times New Roman" w:cs="Times New Roman"/>
                <w:sz w:val="24"/>
              </w:rPr>
              <w:t>iteenus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eakale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vöi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puudega isikule (30 min)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94D2AC7" w14:textId="77777777" w:rsidR="0074231C" w:rsidRDefault="00216C62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>2 eurot/kord.</w:t>
            </w:r>
          </w:p>
        </w:tc>
      </w:tr>
      <w:tr w:rsidR="0074231C" w14:paraId="3528FCDE" w14:textId="77777777">
        <w:trPr>
          <w:trHeight w:val="286"/>
        </w:trPr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14:paraId="76D86C61" w14:textId="0CA3B8CF" w:rsidR="0074231C" w:rsidRDefault="00216C62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1.5.3.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</w:t>
            </w:r>
            <w:r w:rsidR="00C9742D">
              <w:rPr>
                <w:rFonts w:ascii="Times New Roman" w:eastAsia="Times New Roman" w:hAnsi="Times New Roman" w:cs="Times New Roman"/>
                <w:sz w:val="24"/>
              </w:rPr>
              <w:t>šš</w:t>
            </w:r>
            <w:r>
              <w:rPr>
                <w:rFonts w:ascii="Times New Roman" w:eastAsia="Times New Roman" w:hAnsi="Times New Roman" w:cs="Times New Roman"/>
                <w:sz w:val="24"/>
              </w:rPr>
              <w:t>iteenus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erihoolekande kliendile (30 min)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67C2BF12" w14:textId="77777777" w:rsidR="0074231C" w:rsidRDefault="00216C62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>1 euro/kord.</w:t>
            </w:r>
          </w:p>
        </w:tc>
      </w:tr>
      <w:tr w:rsidR="0074231C" w14:paraId="059914FF" w14:textId="77777777">
        <w:trPr>
          <w:trHeight w:val="286"/>
        </w:trPr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14:paraId="007996A3" w14:textId="77777777" w:rsidR="0074231C" w:rsidRDefault="00216C62">
            <w:pPr>
              <w:tabs>
                <w:tab w:val="center" w:pos="639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1.5.4. Pesupesemine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 wp14:anchorId="6EB0128B" wp14:editId="73C44F43">
                  <wp:extent cx="30480" cy="33537"/>
                  <wp:effectExtent l="0" t="0" r="0" b="0"/>
                  <wp:docPr id="1674" name="Picture 1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" name="Picture 16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3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5394915A" w14:textId="77777777" w:rsidR="0074231C" w:rsidRDefault="00216C62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eurot/masinatäis.</w:t>
            </w:r>
          </w:p>
        </w:tc>
      </w:tr>
      <w:tr w:rsidR="0074231C" w14:paraId="3B629DCB" w14:textId="77777777">
        <w:trPr>
          <w:trHeight w:val="285"/>
        </w:trPr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14:paraId="5CC73DC5" w14:textId="77777777" w:rsidR="0074231C" w:rsidRDefault="00216C6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1.5.5. Pesupesemine erihoolekande kliendile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6299A52D" w14:textId="77777777" w:rsidR="0074231C" w:rsidRDefault="00216C62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euro/masinatäis.</w:t>
            </w:r>
          </w:p>
        </w:tc>
      </w:tr>
      <w:tr w:rsidR="0074231C" w14:paraId="57D1914C" w14:textId="77777777">
        <w:trPr>
          <w:trHeight w:val="285"/>
        </w:trPr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14:paraId="514C448B" w14:textId="4C9B1CB0" w:rsidR="0074231C" w:rsidRDefault="00216C6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1.5.6. Nõustamisteenus erivajadusega lapsele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5EE737E" w14:textId="77777777" w:rsidR="0074231C" w:rsidRDefault="00216C62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>10 eurot/tund.</w:t>
            </w:r>
          </w:p>
        </w:tc>
      </w:tr>
      <w:tr w:rsidR="0074231C" w14:paraId="336A424D" w14:textId="77777777">
        <w:trPr>
          <w:trHeight w:val="286"/>
        </w:trPr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14:paraId="1DBFF970" w14:textId="77777777" w:rsidR="0074231C" w:rsidRDefault="00216C6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1.5.7. Lapsehoiuteenus raske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vöi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sügava puudega lapsele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68D0F595" w14:textId="77777777" w:rsidR="0074231C" w:rsidRDefault="00216C62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7 eurot/tund.</w:t>
            </w:r>
          </w:p>
        </w:tc>
      </w:tr>
      <w:tr w:rsidR="0074231C" w14:paraId="7542BAC1" w14:textId="77777777">
        <w:trPr>
          <w:trHeight w:val="258"/>
        </w:trPr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14:paraId="0E7E5067" w14:textId="77777777" w:rsidR="0074231C" w:rsidRDefault="00216C6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1.5.8. Tugiisikuteenus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EDF3D63" w14:textId="77777777" w:rsidR="0074231C" w:rsidRDefault="00216C62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300 eurot/kuu.</w:t>
            </w:r>
          </w:p>
        </w:tc>
      </w:tr>
    </w:tbl>
    <w:p w14:paraId="1C037C5F" w14:textId="77777777" w:rsidR="0074231C" w:rsidRDefault="00216C62">
      <w:pPr>
        <w:spacing w:after="7" w:line="253" w:lineRule="auto"/>
        <w:ind w:left="9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1.5.9. Tugiisikuteenus raske </w:t>
      </w:r>
      <w:proofErr w:type="spellStart"/>
      <w:r>
        <w:rPr>
          <w:rFonts w:ascii="Times New Roman" w:eastAsia="Times New Roman" w:hAnsi="Times New Roman" w:cs="Times New Roman"/>
          <w:sz w:val="24"/>
        </w:rPr>
        <w:t>vöi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sügava puudega lapsele </w:t>
      </w:r>
      <w:proofErr w:type="spellStart"/>
      <w:r>
        <w:rPr>
          <w:rFonts w:ascii="Times New Roman" w:eastAsia="Times New Roman" w:hAnsi="Times New Roman" w:cs="Times New Roman"/>
          <w:sz w:val="24"/>
        </w:rPr>
        <w:t>vöi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täiskasvanule 7 eurot/tund.</w:t>
      </w:r>
    </w:p>
    <w:p w14:paraId="4CC6FE89" w14:textId="77777777" w:rsidR="0074231C" w:rsidRDefault="00216C62">
      <w:pPr>
        <w:tabs>
          <w:tab w:val="center" w:pos="7858"/>
        </w:tabs>
        <w:spacing w:after="7" w:line="253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>1.5.10. Sotsiaaleluruumi toa koristamise hind pansionaadis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w:drawing>
          <wp:inline distT="0" distB="0" distL="0" distR="0" wp14:anchorId="4D21A56A" wp14:editId="1ED3B8E3">
            <wp:extent cx="24384" cy="30489"/>
            <wp:effectExtent l="0" t="0" r="0" b="0"/>
            <wp:docPr id="1675" name="Picture 1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" name="Picture 16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5 eurot/kord</w:t>
      </w:r>
    </w:p>
    <w:p w14:paraId="091FA630" w14:textId="77777777" w:rsidR="0074231C" w:rsidRDefault="00216C62">
      <w:pPr>
        <w:numPr>
          <w:ilvl w:val="0"/>
          <w:numId w:val="1"/>
        </w:numPr>
        <w:spacing w:after="301" w:line="250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>Erandjuhtudel võib sotsiaalkeskuse juhataja rakendada kokkuleppehinda.</w:t>
      </w:r>
    </w:p>
    <w:p w14:paraId="1E373FCE" w14:textId="77777777" w:rsidR="0074231C" w:rsidRDefault="00216C62">
      <w:pPr>
        <w:numPr>
          <w:ilvl w:val="0"/>
          <w:numId w:val="1"/>
        </w:numPr>
        <w:spacing w:after="282" w:line="250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>Tunnistada kehtetuks Hiiu Vallavalitsuse 19.09.2017 korraldus nr 376 „Hiiu Valla Sotsiaalkeskuse hinnakirja kehtestamine"</w:t>
      </w:r>
    </w:p>
    <w:p w14:paraId="4897766F" w14:textId="77777777" w:rsidR="0074231C" w:rsidRDefault="00216C62">
      <w:pPr>
        <w:numPr>
          <w:ilvl w:val="0"/>
          <w:numId w:val="1"/>
        </w:numPr>
        <w:spacing w:after="293" w:line="250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>Korraldus jõustub 1. veebruaril 2018.</w:t>
      </w:r>
    </w:p>
    <w:p w14:paraId="75A76DCB" w14:textId="77777777" w:rsidR="0074231C" w:rsidRDefault="00216C62">
      <w:pPr>
        <w:numPr>
          <w:ilvl w:val="0"/>
          <w:numId w:val="1"/>
        </w:numPr>
        <w:spacing w:after="21" w:line="250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Korralduse peale võib esitada vaide Hiiumaa Vallavalitsusele haldusmenetluse seaduses </w:t>
      </w:r>
      <w:proofErr w:type="spellStart"/>
      <w:r>
        <w:rPr>
          <w:rFonts w:ascii="Times New Roman" w:eastAsia="Times New Roman" w:hAnsi="Times New Roman" w:cs="Times New Roman"/>
          <w:sz w:val="24"/>
        </w:rPr>
        <w:t>sãtestatud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korras 30 </w:t>
      </w:r>
      <w:proofErr w:type="spellStart"/>
      <w:r>
        <w:rPr>
          <w:rFonts w:ascii="Times New Roman" w:eastAsia="Times New Roman" w:hAnsi="Times New Roman" w:cs="Times New Roman"/>
          <w:sz w:val="24"/>
        </w:rPr>
        <w:t>pãeva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jooksul arvates korralduse teadasaamise </w:t>
      </w:r>
      <w:proofErr w:type="spellStart"/>
      <w:r>
        <w:rPr>
          <w:rFonts w:ascii="Times New Roman" w:eastAsia="Times New Roman" w:hAnsi="Times New Roman" w:cs="Times New Roman"/>
          <w:sz w:val="24"/>
        </w:rPr>
        <w:t>pãevast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või esitada kaebuse Tallinna Halduskohtule halduskohtumenetluse seadustikus </w:t>
      </w:r>
      <w:proofErr w:type="spellStart"/>
      <w:r>
        <w:rPr>
          <w:rFonts w:ascii="Times New Roman" w:eastAsia="Times New Roman" w:hAnsi="Times New Roman" w:cs="Times New Roman"/>
          <w:sz w:val="24"/>
        </w:rPr>
        <w:t>sãtestatud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korras 30 </w:t>
      </w:r>
      <w:proofErr w:type="spellStart"/>
      <w:r>
        <w:rPr>
          <w:rFonts w:ascii="Times New Roman" w:eastAsia="Times New Roman" w:hAnsi="Times New Roman" w:cs="Times New Roman"/>
          <w:sz w:val="24"/>
        </w:rPr>
        <w:t>pãeva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jooksul arvates korralduse teatavakstegemisest.</w:t>
      </w:r>
    </w:p>
    <w:p w14:paraId="332BED0C" w14:textId="77777777" w:rsidR="0074231C" w:rsidRDefault="0074231C">
      <w:pPr>
        <w:sectPr w:rsidR="0074231C">
          <w:pgSz w:w="11904" w:h="16834"/>
          <w:pgMar w:top="898" w:right="1133" w:bottom="1364" w:left="1622" w:header="708" w:footer="708" w:gutter="0"/>
          <w:cols w:space="708"/>
        </w:sectPr>
      </w:pPr>
    </w:p>
    <w:p w14:paraId="3731B934" w14:textId="77777777" w:rsidR="0074231C" w:rsidRDefault="00216C62">
      <w:pPr>
        <w:spacing w:after="48"/>
        <w:ind w:left="-581" w:right="-960"/>
      </w:pPr>
      <w:r>
        <w:rPr>
          <w:noProof/>
        </w:rPr>
        <w:drawing>
          <wp:inline distT="0" distB="0" distL="0" distR="0" wp14:anchorId="3B68AD17" wp14:editId="39C50FEA">
            <wp:extent cx="1676400" cy="442086"/>
            <wp:effectExtent l="0" t="0" r="0" b="0"/>
            <wp:docPr id="2568" name="Picture 2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8" name="Picture 25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4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AE38D" w14:textId="77777777" w:rsidR="0074231C" w:rsidRDefault="00216C62">
      <w:pPr>
        <w:spacing w:after="21" w:line="250" w:lineRule="auto"/>
        <w:ind w:left="19" w:hanging="5"/>
        <w:jc w:val="both"/>
      </w:pPr>
      <w:r>
        <w:rPr>
          <w:rFonts w:ascii="Times New Roman" w:eastAsia="Times New Roman" w:hAnsi="Times New Roman" w:cs="Times New Roman"/>
          <w:sz w:val="24"/>
        </w:rPr>
        <w:t>Reili Rand vallavanem</w:t>
      </w:r>
    </w:p>
    <w:p w14:paraId="16183BAB" w14:textId="77777777" w:rsidR="0074231C" w:rsidRDefault="0074231C">
      <w:pPr>
        <w:sectPr w:rsidR="0074231C">
          <w:type w:val="continuous"/>
          <w:pgSz w:w="11904" w:h="16834"/>
          <w:pgMar w:top="1407" w:right="9163" w:bottom="10647" w:left="1642" w:header="708" w:footer="708" w:gutter="0"/>
          <w:cols w:space="708"/>
        </w:sectPr>
      </w:pPr>
    </w:p>
    <w:p w14:paraId="3AB5BF60" w14:textId="77777777" w:rsidR="0074231C" w:rsidRDefault="00216C62">
      <w:pPr>
        <w:spacing w:after="34"/>
        <w:ind w:left="19" w:right="-235"/>
      </w:pPr>
      <w:r>
        <w:rPr>
          <w:noProof/>
        </w:rPr>
        <w:drawing>
          <wp:inline distT="0" distB="0" distL="0" distR="0" wp14:anchorId="58006590" wp14:editId="2245322F">
            <wp:extent cx="1097280" cy="731729"/>
            <wp:effectExtent l="0" t="0" r="0" b="0"/>
            <wp:docPr id="2567" name="Picture 2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7" name="Picture 256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73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B9ED0" w14:textId="77777777" w:rsidR="0074231C" w:rsidRDefault="00216C62">
      <w:pPr>
        <w:spacing w:after="21" w:line="250" w:lineRule="auto"/>
        <w:ind w:left="19" w:hanging="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Helen </w:t>
      </w:r>
      <w:proofErr w:type="spellStart"/>
      <w:r>
        <w:rPr>
          <w:rFonts w:ascii="Times New Roman" w:eastAsia="Times New Roman" w:hAnsi="Times New Roman" w:cs="Times New Roman"/>
          <w:sz w:val="24"/>
        </w:rPr>
        <w:t>Hãrmson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vallasekretãr</w:t>
      </w:r>
      <w:proofErr w:type="spellEnd"/>
    </w:p>
    <w:sectPr w:rsidR="0074231C">
      <w:type w:val="continuous"/>
      <w:pgSz w:w="11904" w:h="16834"/>
      <w:pgMar w:top="1407" w:right="2995" w:bottom="10647" w:left="73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E00C5"/>
    <w:multiLevelType w:val="hybridMultilevel"/>
    <w:tmpl w:val="8286CC4A"/>
    <w:lvl w:ilvl="0" w:tplc="B4A6D430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46055E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304C9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FA25FE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8A4766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41BCC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A6926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F403D4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0F456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1C"/>
    <w:rsid w:val="000F3D09"/>
    <w:rsid w:val="00216C62"/>
    <w:rsid w:val="0026740B"/>
    <w:rsid w:val="0074231C"/>
    <w:rsid w:val="00BC4A45"/>
    <w:rsid w:val="00C9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E2DD"/>
  <w15:docId w15:val="{B2A6EBA2-73BD-4349-962C-9319E28B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paragraph" w:styleId="Pealkiri1">
    <w:name w:val="heading 1"/>
    <w:next w:val="Normaallaad"/>
    <w:link w:val="Pealkiri1Mrk"/>
    <w:uiPriority w:val="9"/>
    <w:qFormat/>
    <w:pPr>
      <w:keepNext/>
      <w:keepLines/>
      <w:spacing w:after="174"/>
      <w:ind w:left="552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Riho Rahuoja</dc:creator>
  <cp:keywords/>
  <cp:lastModifiedBy>Anna Lipp</cp:lastModifiedBy>
  <cp:revision>2</cp:revision>
  <cp:lastPrinted>2018-10-01T12:47:00Z</cp:lastPrinted>
  <dcterms:created xsi:type="dcterms:W3CDTF">2018-11-20T05:55:00Z</dcterms:created>
  <dcterms:modified xsi:type="dcterms:W3CDTF">2018-11-20T05:55:00Z</dcterms:modified>
</cp:coreProperties>
</file>